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F812" w14:textId="77777777" w:rsidR="007E1190" w:rsidRDefault="000467C2" w:rsidP="000467C2">
      <w:pPr>
        <w:jc w:val="right"/>
      </w:pPr>
      <w:r w:rsidRPr="00D71311">
        <w:rPr>
          <w:b/>
          <w:noProof/>
          <w:sz w:val="28"/>
          <w:szCs w:val="28"/>
          <w:lang w:eastAsia="en-GB"/>
        </w:rPr>
        <w:drawing>
          <wp:inline distT="0" distB="0" distL="0" distR="0" wp14:anchorId="6B7AC3B8" wp14:editId="5FB34D0D">
            <wp:extent cx="1662460" cy="131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7795" cy="133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9CA8" w14:textId="77777777" w:rsidR="000467C2" w:rsidRDefault="000467C2" w:rsidP="000467C2">
      <w:pPr>
        <w:jc w:val="right"/>
      </w:pPr>
    </w:p>
    <w:p w14:paraId="5720DC3B" w14:textId="77777777" w:rsidR="000467C2" w:rsidRDefault="000467C2" w:rsidP="000467C2">
      <w:pPr>
        <w:jc w:val="right"/>
      </w:pPr>
    </w:p>
    <w:p w14:paraId="22AD9F5F" w14:textId="77777777" w:rsidR="000467C2" w:rsidRDefault="000467C2" w:rsidP="000467C2">
      <w:pPr>
        <w:rPr>
          <w:b/>
        </w:rPr>
      </w:pPr>
      <w:r w:rsidRPr="000467C2">
        <w:rPr>
          <w:b/>
        </w:rPr>
        <w:t>Special Arrangements and Considerations</w:t>
      </w:r>
      <w:r>
        <w:rPr>
          <w:b/>
        </w:rPr>
        <w:t xml:space="preserve"> Policy</w:t>
      </w:r>
    </w:p>
    <w:p w14:paraId="79C7D47A" w14:textId="77777777" w:rsidR="000467C2" w:rsidRDefault="000467C2" w:rsidP="000467C2">
      <w:pPr>
        <w:rPr>
          <w:b/>
        </w:rPr>
      </w:pPr>
    </w:p>
    <w:p w14:paraId="54E45222" w14:textId="1FE6A431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color w:val="000000"/>
          <w:sz w:val="22"/>
          <w:szCs w:val="22"/>
        </w:rPr>
        <w:t>The Real Apprenticeship Company Ltd</w:t>
      </w:r>
      <w:r>
        <w:rPr>
          <w:rFonts w:cs="Times"/>
          <w:color w:val="000000"/>
          <w:sz w:val="22"/>
          <w:szCs w:val="22"/>
        </w:rPr>
        <w:t xml:space="preserve"> (TRAC)</w:t>
      </w:r>
      <w:r w:rsidRPr="008C5145">
        <w:rPr>
          <w:rFonts w:cs="Times"/>
          <w:color w:val="000000"/>
          <w:sz w:val="22"/>
          <w:szCs w:val="22"/>
        </w:rPr>
        <w:t xml:space="preserve"> recognises that </w:t>
      </w:r>
      <w:r>
        <w:rPr>
          <w:rFonts w:cs="Times"/>
          <w:color w:val="000000"/>
          <w:sz w:val="22"/>
          <w:szCs w:val="22"/>
        </w:rPr>
        <w:t xml:space="preserve">end-point </w:t>
      </w:r>
      <w:r w:rsidRPr="008C5145">
        <w:rPr>
          <w:rFonts w:cs="Times"/>
          <w:color w:val="000000"/>
          <w:sz w:val="22"/>
          <w:szCs w:val="22"/>
        </w:rPr>
        <w:t xml:space="preserve">assessment is </w:t>
      </w:r>
      <w:r>
        <w:rPr>
          <w:rFonts w:cs="Times"/>
          <w:color w:val="000000"/>
          <w:sz w:val="22"/>
          <w:szCs w:val="22"/>
        </w:rPr>
        <w:t xml:space="preserve">the criteria which a learner must demonstrate to evidence occupational competence. </w:t>
      </w:r>
      <w:r w:rsidR="006637E1">
        <w:rPr>
          <w:rFonts w:cs="Times"/>
          <w:color w:val="000000"/>
          <w:sz w:val="22"/>
          <w:szCs w:val="22"/>
        </w:rPr>
        <w:t xml:space="preserve">The opportunity to undertake the end-point assessment </w:t>
      </w:r>
      <w:r w:rsidRPr="008C5145">
        <w:rPr>
          <w:rFonts w:cs="Times"/>
          <w:color w:val="000000"/>
          <w:sz w:val="22"/>
          <w:szCs w:val="22"/>
        </w:rPr>
        <w:t>must be available to all those who have the pot</w:t>
      </w:r>
      <w:r w:rsidR="006637E1">
        <w:rPr>
          <w:rFonts w:cs="Times"/>
          <w:color w:val="000000"/>
          <w:sz w:val="22"/>
          <w:szCs w:val="22"/>
        </w:rPr>
        <w:t>ential to achieve the standard</w:t>
      </w:r>
      <w:r w:rsidR="00391270">
        <w:rPr>
          <w:rFonts w:cs="Times"/>
          <w:color w:val="000000"/>
          <w:sz w:val="22"/>
          <w:szCs w:val="22"/>
        </w:rPr>
        <w:t xml:space="preserve">.  </w:t>
      </w:r>
    </w:p>
    <w:p w14:paraId="562FB299" w14:textId="26A128BE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color w:val="000000"/>
          <w:sz w:val="22"/>
          <w:szCs w:val="22"/>
        </w:rPr>
        <w:t>The promotion of access and fair assessment acknowledges that there is a diverse range of candidates with different n</w:t>
      </w:r>
      <w:r w:rsidR="00391270">
        <w:rPr>
          <w:rFonts w:cs="Times"/>
          <w:color w:val="000000"/>
          <w:sz w:val="22"/>
          <w:szCs w:val="22"/>
        </w:rPr>
        <w:t>eeds. Candidates with specific</w:t>
      </w:r>
      <w:r w:rsidRPr="008C5145">
        <w:rPr>
          <w:rFonts w:cs="Times"/>
          <w:color w:val="000000"/>
          <w:sz w:val="22"/>
          <w:szCs w:val="22"/>
        </w:rPr>
        <w:t xml:space="preserve"> assessment requirements in relation, for example, to learning difficulties, visual or hearing impairment, mental illness, or English as an additional language - may need to use alternative means of providing evidence. Different approaches and support will be provided to allow each candidate to d</w:t>
      </w:r>
      <w:r w:rsidR="00391270">
        <w:rPr>
          <w:rFonts w:cs="Times"/>
          <w:color w:val="000000"/>
          <w:sz w:val="22"/>
          <w:szCs w:val="22"/>
        </w:rPr>
        <w:t>emonstrate their competence. TRAC will</w:t>
      </w:r>
      <w:r w:rsidRPr="008C5145">
        <w:rPr>
          <w:rFonts w:cs="Times"/>
          <w:color w:val="000000"/>
          <w:sz w:val="22"/>
          <w:szCs w:val="22"/>
        </w:rPr>
        <w:t xml:space="preserve"> ensure that proposed assessment methods are of equal quality and rigour to those for mainstream candidates </w:t>
      </w:r>
      <w:r w:rsidR="00391270" w:rsidRPr="008C5145">
        <w:rPr>
          <w:rFonts w:cs="Times"/>
          <w:color w:val="000000"/>
          <w:sz w:val="22"/>
          <w:szCs w:val="22"/>
        </w:rPr>
        <w:t>to</w:t>
      </w:r>
      <w:r w:rsidRPr="008C5145">
        <w:rPr>
          <w:rFonts w:cs="Times"/>
          <w:color w:val="000000"/>
          <w:sz w:val="22"/>
          <w:szCs w:val="22"/>
        </w:rPr>
        <w:t xml:space="preserve"> demonstrate that the candidate has achieved the national standard. It is of paramount importance that learners and employers have confidence in the standards and </w:t>
      </w:r>
      <w:r w:rsidR="00391270">
        <w:rPr>
          <w:rFonts w:cs="Times"/>
          <w:color w:val="000000"/>
          <w:sz w:val="22"/>
          <w:szCs w:val="22"/>
        </w:rPr>
        <w:t xml:space="preserve">end-point assessment processes and </w:t>
      </w:r>
      <w:r w:rsidR="00391270" w:rsidRPr="008C5145">
        <w:rPr>
          <w:rFonts w:cs="Times"/>
          <w:color w:val="000000"/>
          <w:sz w:val="22"/>
          <w:szCs w:val="22"/>
        </w:rPr>
        <w:t>procedures</w:t>
      </w:r>
      <w:r w:rsidR="00391270">
        <w:rPr>
          <w:rFonts w:cs="Times"/>
          <w:color w:val="000000"/>
          <w:sz w:val="22"/>
          <w:szCs w:val="22"/>
        </w:rPr>
        <w:t xml:space="preserve"> which TRAC delivers.  We are </w:t>
      </w:r>
      <w:r w:rsidRPr="008C5145">
        <w:rPr>
          <w:rFonts w:cs="Times"/>
          <w:color w:val="000000"/>
          <w:sz w:val="22"/>
          <w:szCs w:val="22"/>
        </w:rPr>
        <w:t xml:space="preserve">committed to ensuring that learner assessment and its consequences are managed effectively and consistently. </w:t>
      </w:r>
    </w:p>
    <w:p w14:paraId="7EE38606" w14:textId="77777777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b/>
          <w:bCs/>
          <w:color w:val="000000"/>
          <w:sz w:val="22"/>
          <w:szCs w:val="22"/>
        </w:rPr>
        <w:t xml:space="preserve">Assessment arrangements for learners with disabilities </w:t>
      </w:r>
    </w:p>
    <w:p w14:paraId="79998A57" w14:textId="23CCB35A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color w:val="000000"/>
          <w:sz w:val="22"/>
          <w:szCs w:val="22"/>
        </w:rPr>
        <w:t xml:space="preserve">It is well documented that learners learn in different ways and respond differentially to different assessment methods. </w:t>
      </w:r>
      <w:r w:rsidR="00391270">
        <w:rPr>
          <w:rFonts w:cs="Times"/>
          <w:color w:val="000000"/>
          <w:sz w:val="22"/>
          <w:szCs w:val="22"/>
        </w:rPr>
        <w:t xml:space="preserve">Our end-point assessors work with individual learners, to establish their own individual </w:t>
      </w:r>
      <w:r w:rsidR="00391270" w:rsidRPr="008C5145">
        <w:rPr>
          <w:rFonts w:cs="Times"/>
          <w:color w:val="000000"/>
          <w:sz w:val="22"/>
          <w:szCs w:val="22"/>
        </w:rPr>
        <w:t>learning</w:t>
      </w:r>
      <w:r w:rsidR="00391270">
        <w:rPr>
          <w:rFonts w:cs="Times"/>
          <w:color w:val="000000"/>
          <w:sz w:val="22"/>
          <w:szCs w:val="22"/>
        </w:rPr>
        <w:t xml:space="preserve"> and assessment</w:t>
      </w:r>
      <w:r w:rsidRPr="008C5145">
        <w:rPr>
          <w:rFonts w:cs="Times"/>
          <w:color w:val="000000"/>
          <w:sz w:val="22"/>
          <w:szCs w:val="22"/>
        </w:rPr>
        <w:t xml:space="preserve"> style</w:t>
      </w:r>
      <w:r w:rsidR="00391270">
        <w:rPr>
          <w:rFonts w:cs="Times"/>
          <w:color w:val="000000"/>
          <w:sz w:val="22"/>
          <w:szCs w:val="22"/>
        </w:rPr>
        <w:t>, and then ensure the necessary resources and support are put in place to allow access to assessment (in line with the EQA and standards)</w:t>
      </w:r>
      <w:r w:rsidRPr="008C5145">
        <w:rPr>
          <w:rFonts w:cs="Times"/>
          <w:color w:val="000000"/>
          <w:sz w:val="22"/>
          <w:szCs w:val="22"/>
        </w:rPr>
        <w:t xml:space="preserve">. </w:t>
      </w:r>
    </w:p>
    <w:p w14:paraId="28F6716E" w14:textId="77777777" w:rsidR="00391270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color w:val="000000"/>
          <w:sz w:val="22"/>
          <w:szCs w:val="22"/>
        </w:rPr>
        <w:t>The Real Apprenticeship Company Ltd</w:t>
      </w:r>
      <w:r w:rsidR="00391270">
        <w:rPr>
          <w:rFonts w:cs="Times"/>
          <w:color w:val="000000"/>
          <w:sz w:val="22"/>
          <w:szCs w:val="22"/>
        </w:rPr>
        <w:t xml:space="preserve"> (TRAC)</w:t>
      </w:r>
      <w:r w:rsidRPr="008C5145">
        <w:rPr>
          <w:rFonts w:cs="Times"/>
          <w:color w:val="000000"/>
          <w:sz w:val="22"/>
          <w:szCs w:val="22"/>
        </w:rPr>
        <w:t xml:space="preserve"> is supportive of those learners who are prepared to identify themselves as having a disability. </w:t>
      </w:r>
      <w:r w:rsidR="00391270">
        <w:rPr>
          <w:rFonts w:cs="Times"/>
          <w:color w:val="000000"/>
          <w:sz w:val="22"/>
          <w:szCs w:val="22"/>
        </w:rPr>
        <w:t>For example:</w:t>
      </w:r>
    </w:p>
    <w:p w14:paraId="1A846DD8" w14:textId="28444097" w:rsidR="008C5145" w:rsidRPr="008C5145" w:rsidRDefault="000D01C8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>
        <w:rPr>
          <w:rFonts w:ascii="MS Mincho" w:eastAsia="MS Mincho" w:hAnsi="MS Mincho" w:cs="MS Mincho"/>
          <w:b/>
          <w:bCs/>
          <w:color w:val="000000"/>
          <w:sz w:val="22"/>
          <w:szCs w:val="22"/>
        </w:rPr>
        <w:t>F</w:t>
      </w:r>
      <w:r w:rsidR="008C5145" w:rsidRPr="008C5145">
        <w:rPr>
          <w:rFonts w:cs="Times"/>
          <w:b/>
          <w:bCs/>
          <w:color w:val="000000"/>
          <w:sz w:val="22"/>
          <w:szCs w:val="22"/>
        </w:rPr>
        <w:t xml:space="preserve">or learners who have dyslexia </w:t>
      </w:r>
      <w:r>
        <w:rPr>
          <w:rFonts w:cs="Times"/>
          <w:b/>
          <w:bCs/>
          <w:color w:val="000000"/>
          <w:sz w:val="22"/>
          <w:szCs w:val="22"/>
        </w:rPr>
        <w:t>or English as a second language-</w:t>
      </w:r>
      <w:r w:rsidR="008C5145" w:rsidRPr="008C5145">
        <w:rPr>
          <w:rFonts w:cs="Times"/>
          <w:color w:val="000000"/>
          <w:sz w:val="22"/>
          <w:szCs w:val="22"/>
        </w:rPr>
        <w:t xml:space="preserve"> allow additional time and/or present written questions in a simplif</w:t>
      </w:r>
      <w:r>
        <w:rPr>
          <w:rFonts w:cs="Times"/>
          <w:color w:val="000000"/>
          <w:sz w:val="22"/>
          <w:szCs w:val="22"/>
        </w:rPr>
        <w:t>ied format (e.g. bullet-point)</w:t>
      </w:r>
    </w:p>
    <w:p w14:paraId="6576AB64" w14:textId="337D38A0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b/>
          <w:bCs/>
          <w:color w:val="000000"/>
          <w:sz w:val="22"/>
          <w:szCs w:val="22"/>
        </w:rPr>
        <w:t>For learners who have a hearing impairment</w:t>
      </w:r>
      <w:r w:rsidR="000D01C8">
        <w:rPr>
          <w:rFonts w:cs="Times"/>
          <w:color w:val="000000"/>
          <w:sz w:val="22"/>
          <w:szCs w:val="22"/>
        </w:rPr>
        <w:t xml:space="preserve"> - </w:t>
      </w:r>
      <w:r w:rsidRPr="008C5145">
        <w:rPr>
          <w:rFonts w:cs="Times"/>
          <w:color w:val="000000"/>
          <w:sz w:val="22"/>
          <w:szCs w:val="22"/>
        </w:rPr>
        <w:t xml:space="preserve">make provision for an induction loop to be used where all or part of an assessment is presented orally and/or engage a third party to communicate questions and instructions to the </w:t>
      </w:r>
      <w:r w:rsidR="000D01C8">
        <w:rPr>
          <w:rFonts w:cs="Times"/>
          <w:color w:val="000000"/>
          <w:sz w:val="22"/>
          <w:szCs w:val="22"/>
        </w:rPr>
        <w:t>candidate through sign language</w:t>
      </w:r>
      <w:r w:rsidRPr="008C5145">
        <w:rPr>
          <w:rFonts w:cs="Times"/>
          <w:color w:val="000000"/>
          <w:sz w:val="22"/>
          <w:szCs w:val="22"/>
        </w:rPr>
        <w:t xml:space="preserve"> </w:t>
      </w:r>
    </w:p>
    <w:p w14:paraId="149A16D0" w14:textId="097E7985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b/>
          <w:bCs/>
          <w:color w:val="000000"/>
          <w:sz w:val="22"/>
          <w:szCs w:val="22"/>
        </w:rPr>
        <w:lastRenderedPageBreak/>
        <w:t xml:space="preserve">For learners who have a mobility disability </w:t>
      </w:r>
      <w:r w:rsidR="000D01C8">
        <w:rPr>
          <w:rFonts w:cs="Times"/>
          <w:color w:val="000000"/>
          <w:sz w:val="22"/>
          <w:szCs w:val="22"/>
        </w:rPr>
        <w:t>-</w:t>
      </w:r>
      <w:r w:rsidRPr="008C5145">
        <w:rPr>
          <w:rFonts w:cs="Times"/>
          <w:color w:val="000000"/>
          <w:sz w:val="22"/>
          <w:szCs w:val="22"/>
        </w:rPr>
        <w:t xml:space="preserve"> allow candidates who undertake presentations a longer lead-in time to plan answers verbally or in writing before commencing their presentation; and/or use a combination of oral and </w:t>
      </w:r>
      <w:r w:rsidR="000D01C8">
        <w:rPr>
          <w:rFonts w:cs="Times"/>
          <w:color w:val="000000"/>
          <w:sz w:val="22"/>
          <w:szCs w:val="22"/>
        </w:rPr>
        <w:t>written or other visual formats</w:t>
      </w:r>
      <w:r w:rsidRPr="008C5145">
        <w:rPr>
          <w:rFonts w:cs="Times"/>
          <w:color w:val="000000"/>
          <w:sz w:val="22"/>
          <w:szCs w:val="22"/>
        </w:rPr>
        <w:t xml:space="preserve"> </w:t>
      </w:r>
    </w:p>
    <w:p w14:paraId="7669EA39" w14:textId="699BEF42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b/>
          <w:bCs/>
          <w:color w:val="000000"/>
          <w:sz w:val="22"/>
          <w:szCs w:val="22"/>
        </w:rPr>
        <w:t xml:space="preserve">For learners who have a visual impairment </w:t>
      </w:r>
      <w:r w:rsidR="000D01C8">
        <w:rPr>
          <w:rFonts w:cs="Times"/>
          <w:color w:val="000000"/>
          <w:sz w:val="22"/>
          <w:szCs w:val="22"/>
        </w:rPr>
        <w:t xml:space="preserve">- </w:t>
      </w:r>
      <w:r w:rsidRPr="008C5145">
        <w:rPr>
          <w:rFonts w:cs="Times"/>
          <w:color w:val="000000"/>
          <w:sz w:val="22"/>
          <w:szCs w:val="22"/>
        </w:rPr>
        <w:t>install specialist software on computers and/or engage a third party as a reader; and/or present questions orally and elicit answers orally for assessment by one or two Assessors; and/or present audio- taped questions and audio-tape the answers; and/or convert paper</w:t>
      </w:r>
      <w:r w:rsidR="000D01C8">
        <w:rPr>
          <w:rFonts w:cs="Times"/>
          <w:color w:val="000000"/>
          <w:sz w:val="22"/>
          <w:szCs w:val="22"/>
        </w:rPr>
        <w:t>work to large print or Braille</w:t>
      </w:r>
    </w:p>
    <w:p w14:paraId="584B838B" w14:textId="77777777" w:rsidR="008C5145" w:rsidRPr="008C5145" w:rsidRDefault="008C5145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C5145">
        <w:rPr>
          <w:rFonts w:cs="Times"/>
          <w:b/>
          <w:bCs/>
          <w:color w:val="000000"/>
          <w:sz w:val="22"/>
          <w:szCs w:val="22"/>
        </w:rPr>
        <w:t xml:space="preserve">Principles </w:t>
      </w:r>
    </w:p>
    <w:p w14:paraId="640248A1" w14:textId="5781EB8E" w:rsidR="008C5145" w:rsidRPr="008C5145" w:rsidRDefault="00B8766A" w:rsidP="008C514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TRACs</w:t>
      </w:r>
      <w:r w:rsidR="00922D91">
        <w:rPr>
          <w:rFonts w:cs="Times"/>
          <w:color w:val="000000"/>
          <w:sz w:val="22"/>
          <w:szCs w:val="22"/>
        </w:rPr>
        <w:t xml:space="preserve"> </w:t>
      </w:r>
      <w:r w:rsidR="008C5145" w:rsidRPr="008C5145">
        <w:rPr>
          <w:rFonts w:cs="Times"/>
          <w:color w:val="000000"/>
          <w:sz w:val="22"/>
          <w:szCs w:val="22"/>
        </w:rPr>
        <w:t xml:space="preserve">policy governing the assessment of learners is based on the following principles: </w:t>
      </w:r>
    </w:p>
    <w:p w14:paraId="46A94039" w14:textId="477835AF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assessment is an integral part of a dynamic learning and teaching process and not separate from it.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611AE96" w14:textId="199A7297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assessment plays a key part in the rigorous setting and maintaining of </w:t>
      </w:r>
      <w:r w:rsidRPr="00922D91">
        <w:rPr>
          <w:rFonts w:cs="Times"/>
          <w:color w:val="000000" w:themeColor="text1"/>
          <w:sz w:val="22"/>
          <w:szCs w:val="22"/>
        </w:rPr>
        <w:t xml:space="preserve">academic </w:t>
      </w:r>
      <w:r w:rsidRPr="008605AE">
        <w:rPr>
          <w:rFonts w:cs="Times"/>
          <w:color w:val="000000"/>
          <w:sz w:val="22"/>
          <w:szCs w:val="22"/>
        </w:rPr>
        <w:t xml:space="preserve">standards.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F638F33" w14:textId="41FC0F7E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all learners are entitled to parity of treatment.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9798825" w14:textId="20F72A33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progress is achieved by credit accumulation and the completion of prerequisites.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668CD82" w14:textId="4D96E5FE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due attention is paid to the assessment requirements of professional bodies.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DA0B470" w14:textId="5BCE7DC3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different module learning outcomes should be recognised by and reflected in different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605AE">
        <w:rPr>
          <w:rFonts w:cs="Times"/>
          <w:color w:val="000000"/>
          <w:sz w:val="22"/>
          <w:szCs w:val="22"/>
        </w:rPr>
        <w:t xml:space="preserve">forms of assessment.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9372014" w14:textId="0C91CE4D" w:rsidR="008C5145" w:rsidRPr="008605AE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explicit criterion against which learner performance is assessed should be published to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605AE">
        <w:rPr>
          <w:rFonts w:cs="Times"/>
          <w:color w:val="000000"/>
          <w:sz w:val="22"/>
          <w:szCs w:val="22"/>
        </w:rPr>
        <w:t xml:space="preserve">learners in advance of their assessment.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B45A987" w14:textId="3C396A49" w:rsidR="008C5145" w:rsidRPr="00EC7A9A" w:rsidRDefault="008C5145" w:rsidP="00426E8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8605AE">
        <w:rPr>
          <w:rFonts w:cs="Times"/>
          <w:color w:val="000000"/>
          <w:sz w:val="22"/>
          <w:szCs w:val="22"/>
        </w:rPr>
        <w:t xml:space="preserve">That all learners should be afforded maximum opportunity to demonstrate their knowledge, </w:t>
      </w:r>
      <w:r w:rsidRPr="008605A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C7A9A">
        <w:rPr>
          <w:rFonts w:cs="Times"/>
          <w:color w:val="000000"/>
          <w:sz w:val="22"/>
          <w:szCs w:val="22"/>
        </w:rPr>
        <w:t>skills, competencies and overall strengths through a variety of assessed activities</w:t>
      </w:r>
      <w:r w:rsidRPr="00EC7A9A"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0611BEE0" w14:textId="059A7734" w:rsidR="00EC7A9A" w:rsidRPr="00C90AF3" w:rsidRDefault="00EC7A9A" w:rsidP="00EC7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position w:val="-3"/>
          <w:sz w:val="22"/>
          <w:szCs w:val="22"/>
        </w:rPr>
      </w:pPr>
      <w:r w:rsidRPr="00C90AF3">
        <w:rPr>
          <w:rFonts w:cs="Times"/>
          <w:color w:val="000000"/>
          <w:position w:val="-3"/>
          <w:sz w:val="22"/>
          <w:szCs w:val="22"/>
        </w:rPr>
        <w:t xml:space="preserve">TRAC will assure that assessment practice is scrutinised by both </w:t>
      </w:r>
      <w:r w:rsidRPr="00922D91">
        <w:rPr>
          <w:rFonts w:cs="Times"/>
          <w:color w:val="000000" w:themeColor="text1"/>
          <w:position w:val="-3"/>
          <w:sz w:val="22"/>
          <w:szCs w:val="22"/>
        </w:rPr>
        <w:t>internal and external verifiers</w:t>
      </w:r>
      <w:r w:rsidRPr="00C90AF3">
        <w:rPr>
          <w:rFonts w:cs="Times"/>
          <w:color w:val="000000"/>
          <w:position w:val="-3"/>
          <w:sz w:val="22"/>
          <w:szCs w:val="22"/>
        </w:rPr>
        <w:t>, to maintain standards, ensure consistency and comparability across assessments.</w:t>
      </w:r>
    </w:p>
    <w:p w14:paraId="3EC9178C" w14:textId="7736FC10" w:rsidR="00B8766A" w:rsidRPr="00426E8A" w:rsidRDefault="00C90AF3" w:rsidP="00426E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  <w:r w:rsidRPr="00426E8A">
        <w:rPr>
          <w:rFonts w:cs="Times"/>
          <w:color w:val="000000"/>
          <w:sz w:val="22"/>
          <w:szCs w:val="22"/>
        </w:rPr>
        <w:t xml:space="preserve">For any learner with special needs due to a disability or learning difficulty, </w:t>
      </w:r>
      <w:r w:rsidR="00B52C03" w:rsidRPr="00426E8A">
        <w:rPr>
          <w:rFonts w:cs="Times"/>
          <w:color w:val="000000"/>
          <w:sz w:val="22"/>
          <w:szCs w:val="22"/>
        </w:rPr>
        <w:t xml:space="preserve">TRAC will </w:t>
      </w:r>
      <w:r w:rsidRPr="00426E8A">
        <w:rPr>
          <w:rFonts w:cs="Times"/>
          <w:color w:val="000000"/>
          <w:sz w:val="22"/>
          <w:szCs w:val="22"/>
        </w:rPr>
        <w:t xml:space="preserve">ensure that alternative comparable assessment tasks are agreed and approved sufficiently in advance of the point at which the assessment is undertaken. </w:t>
      </w:r>
      <w:r w:rsidR="00B52C03" w:rsidRPr="00426E8A">
        <w:rPr>
          <w:rFonts w:eastAsia="MS Mincho" w:cs="MS Mincho"/>
          <w:color w:val="000000"/>
          <w:sz w:val="22"/>
          <w:szCs w:val="22"/>
        </w:rPr>
        <w:t xml:space="preserve">Also, </w:t>
      </w:r>
      <w:r w:rsidR="00B52C03" w:rsidRPr="00426E8A">
        <w:rPr>
          <w:rFonts w:cs="Times"/>
          <w:color w:val="000000"/>
          <w:sz w:val="22"/>
          <w:szCs w:val="22"/>
        </w:rPr>
        <w:t>t</w:t>
      </w:r>
      <w:r w:rsidR="008C5145" w:rsidRPr="00426E8A">
        <w:rPr>
          <w:rFonts w:cs="Times"/>
          <w:color w:val="000000"/>
          <w:sz w:val="22"/>
          <w:szCs w:val="22"/>
        </w:rPr>
        <w:t>hat all learners are consulted and kept fully informed about expectations, processes and the outcomes of assessment</w:t>
      </w:r>
      <w:r w:rsidR="00B52C03" w:rsidRPr="00426E8A">
        <w:rPr>
          <w:rFonts w:cs="Times"/>
          <w:color w:val="000000"/>
          <w:sz w:val="22"/>
          <w:szCs w:val="22"/>
        </w:rPr>
        <w:t xml:space="preserve"> and that method used to assess performance are fair and fit for purpose.  TRAC confirm that all end-point assessment</w:t>
      </w:r>
      <w:r w:rsidR="00B8766A" w:rsidRPr="00426E8A">
        <w:rPr>
          <w:rFonts w:cs="Times"/>
          <w:color w:val="000000"/>
          <w:sz w:val="22"/>
          <w:szCs w:val="22"/>
        </w:rPr>
        <w:t>s will be undertaken by appropriately qualified and industry competent staff.</w:t>
      </w:r>
      <w:r w:rsidR="008C5145" w:rsidRPr="00426E8A">
        <w:rPr>
          <w:rFonts w:cs="Times"/>
          <w:color w:val="000000"/>
          <w:sz w:val="22"/>
          <w:szCs w:val="22"/>
        </w:rPr>
        <w:t xml:space="preserve"> </w:t>
      </w:r>
      <w:r w:rsidR="008C5145" w:rsidRPr="00426E8A">
        <w:rPr>
          <w:rFonts w:cs="Times"/>
          <w:color w:val="000000"/>
          <w:kern w:val="1"/>
          <w:sz w:val="29"/>
          <w:szCs w:val="29"/>
        </w:rPr>
        <w:tab/>
      </w:r>
      <w:r w:rsidR="008C5145" w:rsidRPr="00426E8A">
        <w:rPr>
          <w:rFonts w:ascii="MS Mincho" w:eastAsia="MS Mincho" w:hAnsi="MS Mincho" w:cs="MS Mincho"/>
          <w:color w:val="000000"/>
        </w:rPr>
        <w:t> </w:t>
      </w:r>
    </w:p>
    <w:p w14:paraId="27571FA2" w14:textId="7D48577D" w:rsidR="008C5145" w:rsidRPr="00922D91" w:rsidRDefault="008C5145" w:rsidP="00B8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2"/>
          <w:szCs w:val="22"/>
        </w:rPr>
      </w:pPr>
      <w:r w:rsidRPr="00B8766A">
        <w:rPr>
          <w:rFonts w:cs="Times"/>
          <w:color w:val="000000"/>
          <w:sz w:val="22"/>
          <w:szCs w:val="22"/>
        </w:rPr>
        <w:t>The Real Apprenticeship Company L</w:t>
      </w:r>
      <w:r w:rsidR="00B8766A">
        <w:rPr>
          <w:rFonts w:cs="Times"/>
          <w:color w:val="000000"/>
          <w:sz w:val="22"/>
          <w:szCs w:val="22"/>
        </w:rPr>
        <w:t>td will</w:t>
      </w:r>
      <w:r w:rsidRPr="00B8766A">
        <w:rPr>
          <w:rFonts w:cs="Times"/>
          <w:color w:val="000000"/>
          <w:sz w:val="22"/>
          <w:szCs w:val="22"/>
        </w:rPr>
        <w:t xml:space="preserve"> continually review and monitor the </w:t>
      </w:r>
      <w:r w:rsidR="00B8766A">
        <w:rPr>
          <w:rFonts w:cs="Times"/>
          <w:color w:val="000000"/>
          <w:sz w:val="22"/>
          <w:szCs w:val="22"/>
        </w:rPr>
        <w:t xml:space="preserve">Special Arrangements and Considerations Policy. If there is any contradiction to this policy, </w:t>
      </w:r>
      <w:r w:rsidR="00B8766A" w:rsidRPr="00922D91">
        <w:rPr>
          <w:rFonts w:cs="Times"/>
          <w:color w:val="000000" w:themeColor="text1"/>
          <w:sz w:val="22"/>
          <w:szCs w:val="22"/>
        </w:rPr>
        <w:t>the Regul</w:t>
      </w:r>
      <w:r w:rsidR="00922D91">
        <w:rPr>
          <w:rFonts w:cs="Times"/>
          <w:color w:val="000000" w:themeColor="text1"/>
          <w:sz w:val="22"/>
          <w:szCs w:val="22"/>
        </w:rPr>
        <w:t>a</w:t>
      </w:r>
      <w:bookmarkStart w:id="0" w:name="_GoBack"/>
      <w:bookmarkEnd w:id="0"/>
      <w:r w:rsidR="00B8766A" w:rsidRPr="00922D91">
        <w:rPr>
          <w:rFonts w:cs="Times"/>
          <w:color w:val="000000" w:themeColor="text1"/>
          <w:sz w:val="22"/>
          <w:szCs w:val="22"/>
        </w:rPr>
        <w:t>tion and Compliance Manager should be advised.</w:t>
      </w:r>
      <w:r w:rsidRPr="00922D91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p w14:paraId="2797877E" w14:textId="6C968477" w:rsidR="00B8766A" w:rsidRPr="00922D91" w:rsidRDefault="00B8766A" w:rsidP="00B8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2"/>
          <w:szCs w:val="22"/>
        </w:rPr>
      </w:pPr>
      <w:r w:rsidRPr="00922D91">
        <w:rPr>
          <w:rFonts w:cs="Times"/>
          <w:b/>
          <w:color w:val="000000" w:themeColor="text1"/>
          <w:sz w:val="22"/>
          <w:szCs w:val="22"/>
        </w:rPr>
        <w:t>Signed:</w:t>
      </w:r>
      <w:r w:rsidRPr="00922D91">
        <w:rPr>
          <w:rFonts w:cs="Times"/>
          <w:color w:val="000000" w:themeColor="text1"/>
          <w:sz w:val="22"/>
          <w:szCs w:val="22"/>
        </w:rPr>
        <w:t xml:space="preserve"> Debbie Shandley</w:t>
      </w:r>
    </w:p>
    <w:p w14:paraId="571D1D35" w14:textId="748D2908" w:rsidR="00B8766A" w:rsidRPr="00922D91" w:rsidRDefault="00B8766A" w:rsidP="00B8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2"/>
          <w:szCs w:val="22"/>
        </w:rPr>
      </w:pPr>
      <w:r w:rsidRPr="00922D91">
        <w:rPr>
          <w:rFonts w:cs="Times"/>
          <w:b/>
          <w:color w:val="000000" w:themeColor="text1"/>
          <w:sz w:val="22"/>
          <w:szCs w:val="22"/>
        </w:rPr>
        <w:lastRenderedPageBreak/>
        <w:t>Date:</w:t>
      </w:r>
      <w:r w:rsidRPr="00922D91">
        <w:rPr>
          <w:rFonts w:cs="Times"/>
          <w:color w:val="000000" w:themeColor="text1"/>
          <w:sz w:val="22"/>
          <w:szCs w:val="22"/>
        </w:rPr>
        <w:t xml:space="preserve"> June 2017</w:t>
      </w:r>
    </w:p>
    <w:p w14:paraId="7C7C62A9" w14:textId="666C03BA" w:rsidR="00B8766A" w:rsidRPr="00922D91" w:rsidRDefault="00B8766A" w:rsidP="00B8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2"/>
          <w:szCs w:val="22"/>
        </w:rPr>
      </w:pPr>
      <w:r w:rsidRPr="00922D91">
        <w:rPr>
          <w:rFonts w:cs="Times"/>
          <w:b/>
          <w:color w:val="000000" w:themeColor="text1"/>
          <w:sz w:val="22"/>
          <w:szCs w:val="22"/>
        </w:rPr>
        <w:t>Review date:</w:t>
      </w:r>
      <w:r w:rsidRPr="00922D91">
        <w:rPr>
          <w:rFonts w:cs="Times"/>
          <w:color w:val="000000" w:themeColor="text1"/>
          <w:sz w:val="22"/>
          <w:szCs w:val="22"/>
        </w:rPr>
        <w:t xml:space="preserve"> June 2018</w:t>
      </w:r>
    </w:p>
    <w:p w14:paraId="7B35B992" w14:textId="77777777" w:rsidR="00B8766A" w:rsidRPr="00B8766A" w:rsidRDefault="00B8766A" w:rsidP="00B876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2"/>
          <w:szCs w:val="22"/>
        </w:rPr>
      </w:pPr>
    </w:p>
    <w:p w14:paraId="022F4BC7" w14:textId="77777777" w:rsidR="000467C2" w:rsidRPr="00B8766A" w:rsidRDefault="000467C2" w:rsidP="000467C2">
      <w:pPr>
        <w:rPr>
          <w:sz w:val="22"/>
          <w:szCs w:val="22"/>
        </w:rPr>
      </w:pPr>
    </w:p>
    <w:sectPr w:rsidR="000467C2" w:rsidRPr="00B8766A" w:rsidSect="00B108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FE4309"/>
    <w:multiLevelType w:val="hybridMultilevel"/>
    <w:tmpl w:val="ADF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C2"/>
    <w:rsid w:val="000467C2"/>
    <w:rsid w:val="000D01C8"/>
    <w:rsid w:val="000D1AE8"/>
    <w:rsid w:val="001500A4"/>
    <w:rsid w:val="00162F73"/>
    <w:rsid w:val="00391270"/>
    <w:rsid w:val="00426E8A"/>
    <w:rsid w:val="00471239"/>
    <w:rsid w:val="006637E1"/>
    <w:rsid w:val="008605AE"/>
    <w:rsid w:val="008800D7"/>
    <w:rsid w:val="008C5145"/>
    <w:rsid w:val="0090798E"/>
    <w:rsid w:val="00922D91"/>
    <w:rsid w:val="009E363F"/>
    <w:rsid w:val="00A36343"/>
    <w:rsid w:val="00A71AE4"/>
    <w:rsid w:val="00B10852"/>
    <w:rsid w:val="00B52C03"/>
    <w:rsid w:val="00B8766A"/>
    <w:rsid w:val="00C90AF3"/>
    <w:rsid w:val="00E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Woods</dc:creator>
  <cp:keywords/>
  <dc:description/>
  <cp:lastModifiedBy>Debbie Shandley</cp:lastModifiedBy>
  <cp:revision>2</cp:revision>
  <cp:lastPrinted>2017-05-19T11:18:00Z</cp:lastPrinted>
  <dcterms:created xsi:type="dcterms:W3CDTF">2019-03-26T11:30:00Z</dcterms:created>
  <dcterms:modified xsi:type="dcterms:W3CDTF">2019-03-26T11:30:00Z</dcterms:modified>
</cp:coreProperties>
</file>